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4223" w14:textId="77777777" w:rsidR="003D2C40" w:rsidRPr="003D2C40" w:rsidRDefault="003D2C40" w:rsidP="003D2C40">
      <w:pPr>
        <w:rPr>
          <w:rFonts w:ascii="Arial" w:hAnsi="Arial" w:cs="Arial"/>
          <w:b/>
          <w:bCs/>
        </w:rPr>
      </w:pPr>
      <w:r w:rsidRPr="003D2C40">
        <w:rPr>
          <w:rStyle w:val="Heading1Char"/>
        </w:rPr>
        <w:t>BC Brain Injury Association Operating Under the CGB Umbrella</w:t>
      </w:r>
      <w:r w:rsidRPr="003D2C40">
        <w:rPr>
          <w:rStyle w:val="Heading1Char"/>
        </w:rPr>
        <w:br/>
      </w:r>
      <w:r w:rsidRPr="003D2C40">
        <w:rPr>
          <w:rFonts w:ascii="Arial" w:hAnsi="Arial" w:cs="Arial"/>
          <w:b/>
          <w:bCs/>
          <w:i/>
          <w:iCs/>
        </w:rPr>
        <w:t>One-Page Backgrounder</w:t>
      </w:r>
    </w:p>
    <w:p w14:paraId="204D0BAA" w14:textId="77777777" w:rsidR="003D2C40" w:rsidRPr="003D2C40" w:rsidRDefault="003D2C40" w:rsidP="003D2C40">
      <w:pPr>
        <w:rPr>
          <w:rFonts w:ascii="Arial" w:hAnsi="Arial" w:cs="Arial"/>
        </w:rPr>
      </w:pPr>
      <w:r w:rsidRPr="003D2C40">
        <w:rPr>
          <w:rStyle w:val="Heading2Char"/>
        </w:rPr>
        <w:t>Overview</w:t>
      </w:r>
      <w:r w:rsidRPr="003D2C40">
        <w:rPr>
          <w:rStyle w:val="Heading2Char"/>
        </w:rPr>
        <w:br/>
      </w:r>
      <w:r w:rsidRPr="003D2C40">
        <w:rPr>
          <w:rFonts w:ascii="Arial" w:hAnsi="Arial" w:cs="Arial"/>
        </w:rPr>
        <w:t>The BC Brain Injury Association (BCBIA) now operates under the umbrella of the Constable Gerald Breese Centre for Traumatic Life Losses (CGB), following the dissolution of BCBIA’s former standalone legal entity. All assets, intellectual property, programming, and trade names (</w:t>
      </w:r>
      <w:r w:rsidRPr="003D2C40">
        <w:rPr>
          <w:rFonts w:ascii="Arial" w:hAnsi="Arial" w:cs="Arial"/>
          <w:i/>
          <w:iCs/>
        </w:rPr>
        <w:t>BC Brain Injury Association</w:t>
      </w:r>
      <w:r w:rsidRPr="003D2C40">
        <w:rPr>
          <w:rFonts w:ascii="Arial" w:hAnsi="Arial" w:cs="Arial"/>
        </w:rPr>
        <w:t xml:space="preserve"> and </w:t>
      </w:r>
      <w:r w:rsidRPr="003D2C40">
        <w:rPr>
          <w:rFonts w:ascii="Arial" w:hAnsi="Arial" w:cs="Arial"/>
          <w:i/>
          <w:iCs/>
        </w:rPr>
        <w:t>Brainstreams</w:t>
      </w:r>
      <w:r w:rsidRPr="003D2C40">
        <w:rPr>
          <w:rFonts w:ascii="Arial" w:hAnsi="Arial" w:cs="Arial"/>
        </w:rPr>
        <w:t>) have been transferred to CGB.</w:t>
      </w:r>
    </w:p>
    <w:p w14:paraId="46C52F28" w14:textId="77777777" w:rsidR="003D2C40" w:rsidRPr="003D2C40" w:rsidRDefault="003D2C40" w:rsidP="003D2C40">
      <w:pPr>
        <w:rPr>
          <w:rFonts w:ascii="Arial" w:hAnsi="Arial" w:cs="Arial"/>
        </w:rPr>
      </w:pPr>
      <w:r w:rsidRPr="003D2C40">
        <w:rPr>
          <w:rFonts w:ascii="Arial" w:hAnsi="Arial" w:cs="Arial"/>
        </w:rPr>
        <w:t>This transition ensures continuity, long-term stability, and expanded capacity for brain injury leadership, education, and advocacy in British Columbia.</w:t>
      </w:r>
    </w:p>
    <w:p w14:paraId="15AEE66E" w14:textId="77777777" w:rsidR="003D2C40" w:rsidRPr="003D2C40" w:rsidRDefault="003D2C40" w:rsidP="003D2C40">
      <w:pPr>
        <w:rPr>
          <w:rFonts w:ascii="Arial" w:hAnsi="Arial" w:cs="Arial"/>
        </w:rPr>
      </w:pPr>
      <w:r w:rsidRPr="003D2C40">
        <w:rPr>
          <w:rStyle w:val="Heading3Char"/>
        </w:rPr>
        <w:t>Why This Matters</w:t>
      </w:r>
      <w:r w:rsidRPr="003D2C40">
        <w:rPr>
          <w:rStyle w:val="Heading3Char"/>
        </w:rPr>
        <w:br/>
      </w:r>
      <w:r w:rsidRPr="003D2C40">
        <w:rPr>
          <w:rFonts w:ascii="Arial" w:hAnsi="Arial" w:cs="Arial"/>
        </w:rPr>
        <w:t>CGB is a federally incorporated, nationally recognized organization with systems-level leadership across brain injury, disability, mental health, justice, housing, and health. Federal incorporation enables stronger engagement with national institutions, researchers, policymakers, and coalitions—while continuing to advance BC priorities.</w:t>
      </w:r>
    </w:p>
    <w:p w14:paraId="71CAB5B7" w14:textId="77777777" w:rsidR="003D2C40" w:rsidRPr="003D2C40" w:rsidRDefault="003D2C40" w:rsidP="003D2C40">
      <w:pPr>
        <w:rPr>
          <w:rFonts w:ascii="Arial" w:hAnsi="Arial" w:cs="Arial"/>
        </w:rPr>
      </w:pPr>
      <w:r w:rsidRPr="003D2C40">
        <w:rPr>
          <w:rFonts w:ascii="Arial" w:hAnsi="Arial" w:cs="Arial"/>
        </w:rPr>
        <w:t>For British Columbia, this means:</w:t>
      </w:r>
    </w:p>
    <w:p w14:paraId="08AA30AF" w14:textId="77777777" w:rsidR="003D2C40" w:rsidRPr="003D2C40" w:rsidRDefault="003D2C40" w:rsidP="003D2C40">
      <w:pPr>
        <w:numPr>
          <w:ilvl w:val="0"/>
          <w:numId w:val="5"/>
        </w:numPr>
        <w:rPr>
          <w:rFonts w:ascii="Arial" w:hAnsi="Arial" w:cs="Arial"/>
        </w:rPr>
      </w:pPr>
      <w:r w:rsidRPr="003D2C40">
        <w:rPr>
          <w:rFonts w:ascii="Arial" w:hAnsi="Arial" w:cs="Arial"/>
        </w:rPr>
        <w:t>A stronger, more credible voice in provincial and federal policy spaces</w:t>
      </w:r>
    </w:p>
    <w:p w14:paraId="041A5F27" w14:textId="77777777" w:rsidR="003D2C40" w:rsidRPr="003D2C40" w:rsidRDefault="003D2C40" w:rsidP="003D2C40">
      <w:pPr>
        <w:numPr>
          <w:ilvl w:val="0"/>
          <w:numId w:val="5"/>
        </w:numPr>
        <w:rPr>
          <w:rFonts w:ascii="Arial" w:hAnsi="Arial" w:cs="Arial"/>
        </w:rPr>
      </w:pPr>
      <w:r w:rsidRPr="003D2C40">
        <w:rPr>
          <w:rFonts w:ascii="Arial" w:hAnsi="Arial" w:cs="Arial"/>
        </w:rPr>
        <w:t>Improved alignment between community realities and national strategies</w:t>
      </w:r>
    </w:p>
    <w:p w14:paraId="02C109C7" w14:textId="77777777" w:rsidR="003D2C40" w:rsidRPr="003D2C40" w:rsidRDefault="003D2C40" w:rsidP="003D2C40">
      <w:pPr>
        <w:numPr>
          <w:ilvl w:val="0"/>
          <w:numId w:val="5"/>
        </w:numPr>
        <w:rPr>
          <w:rFonts w:ascii="Arial" w:hAnsi="Arial" w:cs="Arial"/>
        </w:rPr>
      </w:pPr>
      <w:r w:rsidRPr="003D2C40">
        <w:rPr>
          <w:rFonts w:ascii="Arial" w:hAnsi="Arial" w:cs="Arial"/>
        </w:rPr>
        <w:t>Greater capacity to influence legislation, funding frameworks, and system reform</w:t>
      </w:r>
    </w:p>
    <w:p w14:paraId="42A0CA05" w14:textId="77777777" w:rsidR="003D2C40" w:rsidRPr="003D2C40" w:rsidRDefault="003D2C40" w:rsidP="003D2C40">
      <w:pPr>
        <w:numPr>
          <w:ilvl w:val="0"/>
          <w:numId w:val="5"/>
        </w:numPr>
        <w:rPr>
          <w:rFonts w:ascii="Arial" w:hAnsi="Arial" w:cs="Arial"/>
        </w:rPr>
      </w:pPr>
      <w:r w:rsidRPr="003D2C40">
        <w:rPr>
          <w:rFonts w:ascii="Arial" w:hAnsi="Arial" w:cs="Arial"/>
        </w:rPr>
        <w:t>Reduced fragmentation between provincial and national brain injury efforts</w:t>
      </w:r>
    </w:p>
    <w:p w14:paraId="2D72FA89" w14:textId="77777777" w:rsidR="003D2C40" w:rsidRPr="003D2C40" w:rsidRDefault="003D2C40" w:rsidP="003D2C40">
      <w:pPr>
        <w:rPr>
          <w:rFonts w:ascii="Arial" w:hAnsi="Arial" w:cs="Arial"/>
        </w:rPr>
      </w:pPr>
      <w:r w:rsidRPr="003D2C40">
        <w:rPr>
          <w:rStyle w:val="Heading3Char"/>
        </w:rPr>
        <w:t>Alignment with the BC Consensus Statement</w:t>
      </w:r>
      <w:r w:rsidRPr="003D2C40">
        <w:rPr>
          <w:rStyle w:val="Heading3Char"/>
        </w:rPr>
        <w:br/>
      </w:r>
      <w:r w:rsidRPr="003D2C40">
        <w:rPr>
          <w:rFonts w:ascii="Arial" w:hAnsi="Arial" w:cs="Arial"/>
        </w:rPr>
        <w:t>This transition directly supports the BC Consensus Statement on Brain Injury, Mental Health and Substance Use by enabling:</w:t>
      </w:r>
    </w:p>
    <w:p w14:paraId="2F0226A6" w14:textId="77777777" w:rsidR="003D2C40" w:rsidRPr="003D2C40" w:rsidRDefault="003D2C40" w:rsidP="003D2C40">
      <w:pPr>
        <w:numPr>
          <w:ilvl w:val="0"/>
          <w:numId w:val="6"/>
        </w:numPr>
        <w:rPr>
          <w:rFonts w:ascii="Arial" w:hAnsi="Arial" w:cs="Arial"/>
        </w:rPr>
      </w:pPr>
      <w:r w:rsidRPr="003D2C40">
        <w:rPr>
          <w:rFonts w:ascii="Arial" w:hAnsi="Arial" w:cs="Arial"/>
        </w:rPr>
        <w:t>Integrated, cross-system responses to brain injury</w:t>
      </w:r>
    </w:p>
    <w:p w14:paraId="00916FB9" w14:textId="77777777" w:rsidR="003D2C40" w:rsidRPr="003D2C40" w:rsidRDefault="003D2C40" w:rsidP="003D2C40">
      <w:pPr>
        <w:numPr>
          <w:ilvl w:val="0"/>
          <w:numId w:val="6"/>
        </w:numPr>
        <w:rPr>
          <w:rFonts w:ascii="Arial" w:hAnsi="Arial" w:cs="Arial"/>
        </w:rPr>
      </w:pPr>
      <w:r w:rsidRPr="003D2C40">
        <w:rPr>
          <w:rFonts w:ascii="Arial" w:hAnsi="Arial" w:cs="Arial"/>
        </w:rPr>
        <w:t>Recognition of intersections with mental health, substance use, justice, and housing</w:t>
      </w:r>
    </w:p>
    <w:p w14:paraId="6677AF45" w14:textId="77777777" w:rsidR="003D2C40" w:rsidRPr="003D2C40" w:rsidRDefault="003D2C40" w:rsidP="003D2C40">
      <w:pPr>
        <w:numPr>
          <w:ilvl w:val="0"/>
          <w:numId w:val="6"/>
        </w:numPr>
        <w:rPr>
          <w:rFonts w:ascii="Arial" w:hAnsi="Arial" w:cs="Arial"/>
        </w:rPr>
      </w:pPr>
      <w:r w:rsidRPr="003D2C40">
        <w:rPr>
          <w:rFonts w:ascii="Arial" w:hAnsi="Arial" w:cs="Arial"/>
        </w:rPr>
        <w:t>Meaningful inclusion of lived experience leadership</w:t>
      </w:r>
    </w:p>
    <w:p w14:paraId="188BEA93" w14:textId="77777777" w:rsidR="003D2C40" w:rsidRPr="003D2C40" w:rsidRDefault="003D2C40" w:rsidP="003D2C40">
      <w:pPr>
        <w:numPr>
          <w:ilvl w:val="0"/>
          <w:numId w:val="6"/>
        </w:numPr>
        <w:rPr>
          <w:rFonts w:ascii="Arial" w:hAnsi="Arial" w:cs="Arial"/>
        </w:rPr>
      </w:pPr>
      <w:r w:rsidRPr="003D2C40">
        <w:rPr>
          <w:rFonts w:ascii="Arial" w:hAnsi="Arial" w:cs="Arial"/>
        </w:rPr>
        <w:t>A shift from fragmented services to coordinated systems of care</w:t>
      </w:r>
    </w:p>
    <w:p w14:paraId="4AB2B5AF" w14:textId="2F57DFA1" w:rsidR="003D2C40" w:rsidRPr="003D2C40" w:rsidRDefault="003D2C40" w:rsidP="003D2C40">
      <w:pPr>
        <w:rPr>
          <w:rFonts w:ascii="Arial" w:hAnsi="Arial" w:cs="Arial"/>
        </w:rPr>
      </w:pPr>
      <w:r w:rsidRPr="003D2C40">
        <w:rPr>
          <w:rFonts w:ascii="Arial" w:hAnsi="Arial" w:cs="Arial"/>
        </w:rPr>
        <w:t>Structurally aligning BCBIA under CGB positions this work to deliver on the Consensus Statement’s call for collaboration, accountability, and sustained leadership.</w:t>
      </w:r>
      <w:r>
        <w:rPr>
          <w:rFonts w:ascii="Arial" w:hAnsi="Arial" w:cs="Arial"/>
        </w:rPr>
        <w:t xml:space="preserve"> To view the BC Consensus Statement, click </w:t>
      </w:r>
      <w:hyperlink r:id="rId5" w:history="1">
        <w:r w:rsidRPr="003D2C40">
          <w:rPr>
            <w:rStyle w:val="Hyperlink"/>
            <w:rFonts w:ascii="Arial" w:hAnsi="Arial" w:cs="Arial"/>
          </w:rPr>
          <w:t>here</w:t>
        </w:r>
      </w:hyperlink>
      <w:r>
        <w:rPr>
          <w:rFonts w:ascii="Arial" w:hAnsi="Arial" w:cs="Arial"/>
        </w:rPr>
        <w:t xml:space="preserve">. </w:t>
      </w:r>
    </w:p>
    <w:p w14:paraId="44F0E1D3" w14:textId="348E221A" w:rsidR="003D2C40" w:rsidRPr="003D2C40" w:rsidRDefault="003D2C40" w:rsidP="003D2C40">
      <w:pPr>
        <w:rPr>
          <w:rFonts w:ascii="Arial" w:hAnsi="Arial" w:cs="Arial"/>
        </w:rPr>
      </w:pPr>
      <w:r w:rsidRPr="003D2C40">
        <w:rPr>
          <w:rStyle w:val="Heading3Char"/>
        </w:rPr>
        <w:t>Alignment with the National Brain Injury Strategy</w:t>
      </w:r>
      <w:r w:rsidRPr="003D2C40">
        <w:rPr>
          <w:rStyle w:val="Heading3Char"/>
        </w:rPr>
        <w:t xml:space="preserve"> (Bill C-206)</w:t>
      </w:r>
      <w:r w:rsidRPr="003D2C40">
        <w:rPr>
          <w:rStyle w:val="Heading3Char"/>
        </w:rPr>
        <w:br/>
      </w:r>
      <w:r w:rsidRPr="003D2C40">
        <w:rPr>
          <w:rFonts w:ascii="Arial" w:hAnsi="Arial" w:cs="Arial"/>
        </w:rPr>
        <w:t>The move aligns with key priorities of the National Brain Injury Strategy, including:</w:t>
      </w:r>
    </w:p>
    <w:p w14:paraId="68144107" w14:textId="77777777" w:rsidR="003D2C40" w:rsidRPr="003D2C40" w:rsidRDefault="003D2C40" w:rsidP="003D2C40">
      <w:pPr>
        <w:numPr>
          <w:ilvl w:val="0"/>
          <w:numId w:val="7"/>
        </w:numPr>
        <w:rPr>
          <w:rFonts w:ascii="Arial" w:hAnsi="Arial" w:cs="Arial"/>
        </w:rPr>
      </w:pPr>
      <w:r w:rsidRPr="003D2C40">
        <w:rPr>
          <w:rFonts w:ascii="Arial" w:hAnsi="Arial" w:cs="Arial"/>
        </w:rPr>
        <w:t>Strengthened national coordination and leadership</w:t>
      </w:r>
    </w:p>
    <w:p w14:paraId="6C0FA087" w14:textId="77777777" w:rsidR="003D2C40" w:rsidRPr="003D2C40" w:rsidRDefault="003D2C40" w:rsidP="003D2C40">
      <w:pPr>
        <w:numPr>
          <w:ilvl w:val="0"/>
          <w:numId w:val="7"/>
        </w:numPr>
        <w:rPr>
          <w:rFonts w:ascii="Arial" w:hAnsi="Arial" w:cs="Arial"/>
        </w:rPr>
      </w:pPr>
      <w:r w:rsidRPr="003D2C40">
        <w:rPr>
          <w:rFonts w:ascii="Arial" w:hAnsi="Arial" w:cs="Arial"/>
        </w:rPr>
        <w:t>Improved policy coherence across jurisdictions</w:t>
      </w:r>
    </w:p>
    <w:p w14:paraId="2E8E45F8" w14:textId="77777777" w:rsidR="003D2C40" w:rsidRPr="003D2C40" w:rsidRDefault="003D2C40" w:rsidP="003D2C40">
      <w:pPr>
        <w:numPr>
          <w:ilvl w:val="0"/>
          <w:numId w:val="7"/>
        </w:numPr>
        <w:rPr>
          <w:rFonts w:ascii="Arial" w:hAnsi="Arial" w:cs="Arial"/>
        </w:rPr>
      </w:pPr>
      <w:r w:rsidRPr="003D2C40">
        <w:rPr>
          <w:rFonts w:ascii="Arial" w:hAnsi="Arial" w:cs="Arial"/>
        </w:rPr>
        <w:lastRenderedPageBreak/>
        <w:t>Evidence-informed, rights-based approaches</w:t>
      </w:r>
    </w:p>
    <w:p w14:paraId="231EF65D" w14:textId="77777777" w:rsidR="003D2C40" w:rsidRPr="003D2C40" w:rsidRDefault="003D2C40" w:rsidP="003D2C40">
      <w:pPr>
        <w:numPr>
          <w:ilvl w:val="0"/>
          <w:numId w:val="7"/>
        </w:numPr>
        <w:rPr>
          <w:rFonts w:ascii="Arial" w:hAnsi="Arial" w:cs="Arial"/>
        </w:rPr>
      </w:pPr>
      <w:r w:rsidRPr="003D2C40">
        <w:rPr>
          <w:rFonts w:ascii="Arial" w:hAnsi="Arial" w:cs="Arial"/>
        </w:rPr>
        <w:t>Elevation of lived experience in policy development</w:t>
      </w:r>
    </w:p>
    <w:p w14:paraId="75DE1B42" w14:textId="77777777" w:rsidR="003D2C40" w:rsidRPr="003D2C40" w:rsidRDefault="003D2C40" w:rsidP="003D2C40">
      <w:pPr>
        <w:numPr>
          <w:ilvl w:val="0"/>
          <w:numId w:val="7"/>
        </w:numPr>
        <w:rPr>
          <w:rFonts w:ascii="Arial" w:hAnsi="Arial" w:cs="Arial"/>
        </w:rPr>
      </w:pPr>
      <w:r w:rsidRPr="003D2C40">
        <w:rPr>
          <w:rFonts w:ascii="Arial" w:hAnsi="Arial" w:cs="Arial"/>
        </w:rPr>
        <w:t>Reduction of regional inequities and service gaps</w:t>
      </w:r>
    </w:p>
    <w:p w14:paraId="64C8AC22" w14:textId="56E49F2A" w:rsidR="003D2C40" w:rsidRPr="003D2C40" w:rsidRDefault="003D2C40" w:rsidP="003D2C40">
      <w:pPr>
        <w:rPr>
          <w:rFonts w:ascii="Arial" w:hAnsi="Arial" w:cs="Arial"/>
        </w:rPr>
      </w:pPr>
      <w:r w:rsidRPr="003D2C40">
        <w:rPr>
          <w:rFonts w:ascii="Arial" w:hAnsi="Arial" w:cs="Arial"/>
        </w:rPr>
        <w:t>CGB’s federal incorporation ensures BC’s realities and priorities inform national strategy implementation.</w:t>
      </w:r>
      <w:r>
        <w:rPr>
          <w:rFonts w:ascii="Arial" w:hAnsi="Arial" w:cs="Arial"/>
        </w:rPr>
        <w:t xml:space="preserve"> To learn more about the National Strategy, click </w:t>
      </w:r>
      <w:hyperlink r:id="rId6" w:history="1">
        <w:r w:rsidRPr="003D2C40">
          <w:rPr>
            <w:rStyle w:val="Hyperlink"/>
            <w:rFonts w:ascii="Arial" w:hAnsi="Arial" w:cs="Arial"/>
          </w:rPr>
          <w:t>here</w:t>
        </w:r>
      </w:hyperlink>
      <w:r>
        <w:rPr>
          <w:rFonts w:ascii="Arial" w:hAnsi="Arial" w:cs="Arial"/>
        </w:rPr>
        <w:t xml:space="preserve">. </w:t>
      </w:r>
    </w:p>
    <w:p w14:paraId="0180899E" w14:textId="77777777" w:rsidR="003D2C40" w:rsidRPr="003D2C40" w:rsidRDefault="003D2C40" w:rsidP="003D2C40">
      <w:pPr>
        <w:pStyle w:val="Heading3"/>
      </w:pPr>
      <w:r w:rsidRPr="003D2C40">
        <w:t>What Remains the Same</w:t>
      </w:r>
    </w:p>
    <w:p w14:paraId="3B2C3024" w14:textId="77777777" w:rsidR="003D2C40" w:rsidRPr="003D2C40" w:rsidRDefault="003D2C40" w:rsidP="003D2C40">
      <w:pPr>
        <w:numPr>
          <w:ilvl w:val="0"/>
          <w:numId w:val="8"/>
        </w:numPr>
        <w:rPr>
          <w:rFonts w:ascii="Arial" w:hAnsi="Arial" w:cs="Arial"/>
        </w:rPr>
      </w:pPr>
      <w:r w:rsidRPr="003D2C40">
        <w:rPr>
          <w:rFonts w:ascii="Arial" w:hAnsi="Arial" w:cs="Arial"/>
        </w:rPr>
        <w:t>No disruption to services or programming</w:t>
      </w:r>
    </w:p>
    <w:p w14:paraId="293FA255" w14:textId="77777777" w:rsidR="003D2C40" w:rsidRPr="003D2C40" w:rsidRDefault="003D2C40" w:rsidP="003D2C40">
      <w:pPr>
        <w:numPr>
          <w:ilvl w:val="0"/>
          <w:numId w:val="8"/>
        </w:numPr>
        <w:rPr>
          <w:rFonts w:ascii="Arial" w:hAnsi="Arial" w:cs="Arial"/>
        </w:rPr>
      </w:pPr>
      <w:r w:rsidRPr="003D2C40">
        <w:rPr>
          <w:rFonts w:ascii="Arial" w:hAnsi="Arial" w:cs="Arial"/>
        </w:rPr>
        <w:t>Trusted provincial identity and programming</w:t>
      </w:r>
    </w:p>
    <w:p w14:paraId="0943603D" w14:textId="77777777" w:rsidR="003D2C40" w:rsidRPr="003D2C40" w:rsidRDefault="003D2C40" w:rsidP="003D2C40">
      <w:pPr>
        <w:numPr>
          <w:ilvl w:val="0"/>
          <w:numId w:val="8"/>
        </w:numPr>
        <w:rPr>
          <w:rFonts w:ascii="Arial" w:hAnsi="Arial" w:cs="Arial"/>
        </w:rPr>
      </w:pPr>
      <w:r w:rsidRPr="003D2C40">
        <w:rPr>
          <w:rFonts w:ascii="Arial" w:hAnsi="Arial" w:cs="Arial"/>
        </w:rPr>
        <w:t>Focus on prevention, education, and advocacy</w:t>
      </w:r>
    </w:p>
    <w:p w14:paraId="6B8C6295" w14:textId="22EFD679" w:rsidR="003D2C40" w:rsidRDefault="003D2C40" w:rsidP="003D2C40">
      <w:pPr>
        <w:numPr>
          <w:ilvl w:val="0"/>
          <w:numId w:val="8"/>
        </w:numPr>
        <w:rPr>
          <w:rFonts w:ascii="Arial" w:hAnsi="Arial" w:cs="Arial"/>
        </w:rPr>
      </w:pPr>
      <w:r w:rsidRPr="003D2C40">
        <w:rPr>
          <w:rFonts w:ascii="Arial" w:hAnsi="Arial" w:cs="Arial"/>
        </w:rPr>
        <w:t>Leadership grounded in lived experience and evidence</w:t>
      </w:r>
    </w:p>
    <w:p w14:paraId="6FA2FFA8" w14:textId="00BD1952" w:rsidR="003D2C40" w:rsidRDefault="003D2C40" w:rsidP="003D2C40">
      <w:pPr>
        <w:numPr>
          <w:ilvl w:val="0"/>
          <w:numId w:val="8"/>
        </w:numPr>
        <w:rPr>
          <w:rFonts w:ascii="Arial" w:hAnsi="Arial" w:cs="Arial"/>
        </w:rPr>
      </w:pPr>
      <w:r>
        <w:rPr>
          <w:rFonts w:ascii="Arial" w:hAnsi="Arial" w:cs="Arial"/>
        </w:rPr>
        <w:t>Strategic Insights</w:t>
      </w:r>
    </w:p>
    <w:p w14:paraId="019AB5E1" w14:textId="0B153040" w:rsidR="003D2C40" w:rsidRPr="003D2C40" w:rsidRDefault="003D2C40" w:rsidP="003D2C40">
      <w:pPr>
        <w:numPr>
          <w:ilvl w:val="0"/>
          <w:numId w:val="8"/>
        </w:numPr>
        <w:rPr>
          <w:rFonts w:ascii="Arial" w:hAnsi="Arial" w:cs="Arial"/>
        </w:rPr>
      </w:pPr>
      <w:r>
        <w:rPr>
          <w:rFonts w:ascii="Arial" w:hAnsi="Arial" w:cs="Arial"/>
        </w:rPr>
        <w:t>Purposeful Partnerships</w:t>
      </w:r>
    </w:p>
    <w:p w14:paraId="52C4E565" w14:textId="77777777" w:rsidR="003D2C40" w:rsidRPr="003D2C40" w:rsidRDefault="003D2C40" w:rsidP="003D2C40">
      <w:pPr>
        <w:rPr>
          <w:rFonts w:ascii="Arial" w:hAnsi="Arial" w:cs="Arial"/>
        </w:rPr>
      </w:pPr>
      <w:r w:rsidRPr="003D2C40">
        <w:rPr>
          <w:rStyle w:val="Heading3Char"/>
        </w:rPr>
        <w:t>Looking Forward</w:t>
      </w:r>
      <w:r w:rsidRPr="003D2C40">
        <w:rPr>
          <w:rStyle w:val="Heading3Char"/>
        </w:rPr>
        <w:br/>
      </w:r>
      <w:r w:rsidRPr="003D2C40">
        <w:rPr>
          <w:rFonts w:ascii="Arial" w:hAnsi="Arial" w:cs="Arial"/>
        </w:rPr>
        <w:t>CGB is committed to stewarding the BC Brain Injury Association and Brainstreams names responsibly while expanding capacity to drive systems change and protect the rights and dignity of people impacted by brain injury in British Columbia.</w:t>
      </w:r>
    </w:p>
    <w:p w14:paraId="4142D82F" w14:textId="7F600E28" w:rsidR="0080618C" w:rsidRPr="003D2C40" w:rsidRDefault="0080618C" w:rsidP="003D2C40">
      <w:pPr>
        <w:rPr>
          <w:rFonts w:ascii="Arial" w:hAnsi="Arial" w:cs="Arial"/>
        </w:rPr>
      </w:pPr>
    </w:p>
    <w:sectPr w:rsidR="0080618C" w:rsidRPr="003D2C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4D72"/>
    <w:multiLevelType w:val="multilevel"/>
    <w:tmpl w:val="BACE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45D36"/>
    <w:multiLevelType w:val="multilevel"/>
    <w:tmpl w:val="79DA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37EB1"/>
    <w:multiLevelType w:val="multilevel"/>
    <w:tmpl w:val="44B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C1536"/>
    <w:multiLevelType w:val="multilevel"/>
    <w:tmpl w:val="E52C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63684"/>
    <w:multiLevelType w:val="multilevel"/>
    <w:tmpl w:val="2F36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D4F7D"/>
    <w:multiLevelType w:val="multilevel"/>
    <w:tmpl w:val="787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63F64"/>
    <w:multiLevelType w:val="multilevel"/>
    <w:tmpl w:val="4D1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537FF3"/>
    <w:multiLevelType w:val="multilevel"/>
    <w:tmpl w:val="C560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074334">
    <w:abstractNumId w:val="4"/>
  </w:num>
  <w:num w:numId="2" w16cid:durableId="338427925">
    <w:abstractNumId w:val="2"/>
  </w:num>
  <w:num w:numId="3" w16cid:durableId="606695066">
    <w:abstractNumId w:val="5"/>
  </w:num>
  <w:num w:numId="4" w16cid:durableId="1015688129">
    <w:abstractNumId w:val="6"/>
  </w:num>
  <w:num w:numId="5" w16cid:durableId="1154495586">
    <w:abstractNumId w:val="7"/>
  </w:num>
  <w:num w:numId="6" w16cid:durableId="180555897">
    <w:abstractNumId w:val="1"/>
  </w:num>
  <w:num w:numId="7" w16cid:durableId="882911963">
    <w:abstractNumId w:val="0"/>
  </w:num>
  <w:num w:numId="8" w16cid:durableId="944338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0"/>
    <w:rsid w:val="000C0D2B"/>
    <w:rsid w:val="003D2C40"/>
    <w:rsid w:val="005D3DEB"/>
    <w:rsid w:val="0080618C"/>
    <w:rsid w:val="00D660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A5EC"/>
  <w15:chartTrackingRefBased/>
  <w15:docId w15:val="{B948A9FF-FE2F-4CF8-9C2B-D4FC9266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2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2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2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2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C40"/>
    <w:rPr>
      <w:rFonts w:eastAsiaTheme="majorEastAsia" w:cstheme="majorBidi"/>
      <w:color w:val="272727" w:themeColor="text1" w:themeTint="D8"/>
    </w:rPr>
  </w:style>
  <w:style w:type="paragraph" w:styleId="Title">
    <w:name w:val="Title"/>
    <w:basedOn w:val="Normal"/>
    <w:next w:val="Normal"/>
    <w:link w:val="TitleChar"/>
    <w:uiPriority w:val="10"/>
    <w:qFormat/>
    <w:rsid w:val="003D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C40"/>
    <w:pPr>
      <w:spacing w:before="160"/>
      <w:jc w:val="center"/>
    </w:pPr>
    <w:rPr>
      <w:i/>
      <w:iCs/>
      <w:color w:val="404040" w:themeColor="text1" w:themeTint="BF"/>
    </w:rPr>
  </w:style>
  <w:style w:type="character" w:customStyle="1" w:styleId="QuoteChar">
    <w:name w:val="Quote Char"/>
    <w:basedOn w:val="DefaultParagraphFont"/>
    <w:link w:val="Quote"/>
    <w:uiPriority w:val="29"/>
    <w:rsid w:val="003D2C40"/>
    <w:rPr>
      <w:i/>
      <w:iCs/>
      <w:color w:val="404040" w:themeColor="text1" w:themeTint="BF"/>
    </w:rPr>
  </w:style>
  <w:style w:type="paragraph" w:styleId="ListParagraph">
    <w:name w:val="List Paragraph"/>
    <w:basedOn w:val="Normal"/>
    <w:uiPriority w:val="34"/>
    <w:qFormat/>
    <w:rsid w:val="003D2C40"/>
    <w:pPr>
      <w:ind w:left="720"/>
      <w:contextualSpacing/>
    </w:pPr>
  </w:style>
  <w:style w:type="character" w:styleId="IntenseEmphasis">
    <w:name w:val="Intense Emphasis"/>
    <w:basedOn w:val="DefaultParagraphFont"/>
    <w:uiPriority w:val="21"/>
    <w:qFormat/>
    <w:rsid w:val="003D2C40"/>
    <w:rPr>
      <w:i/>
      <w:iCs/>
      <w:color w:val="0F4761" w:themeColor="accent1" w:themeShade="BF"/>
    </w:rPr>
  </w:style>
  <w:style w:type="paragraph" w:styleId="IntenseQuote">
    <w:name w:val="Intense Quote"/>
    <w:basedOn w:val="Normal"/>
    <w:next w:val="Normal"/>
    <w:link w:val="IntenseQuoteChar"/>
    <w:uiPriority w:val="30"/>
    <w:qFormat/>
    <w:rsid w:val="003D2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C40"/>
    <w:rPr>
      <w:i/>
      <w:iCs/>
      <w:color w:val="0F4761" w:themeColor="accent1" w:themeShade="BF"/>
    </w:rPr>
  </w:style>
  <w:style w:type="character" w:styleId="IntenseReference">
    <w:name w:val="Intense Reference"/>
    <w:basedOn w:val="DefaultParagraphFont"/>
    <w:uiPriority w:val="32"/>
    <w:qFormat/>
    <w:rsid w:val="003D2C40"/>
    <w:rPr>
      <w:b/>
      <w:bCs/>
      <w:smallCaps/>
      <w:color w:val="0F4761" w:themeColor="accent1" w:themeShade="BF"/>
      <w:spacing w:val="5"/>
    </w:rPr>
  </w:style>
  <w:style w:type="character" w:styleId="Hyperlink">
    <w:name w:val="Hyperlink"/>
    <w:basedOn w:val="DefaultParagraphFont"/>
    <w:uiPriority w:val="99"/>
    <w:unhideWhenUsed/>
    <w:rsid w:val="003D2C40"/>
    <w:rPr>
      <w:color w:val="467886" w:themeColor="hyperlink"/>
      <w:u w:val="single"/>
    </w:rPr>
  </w:style>
  <w:style w:type="character" w:styleId="UnresolvedMention">
    <w:name w:val="Unresolved Mention"/>
    <w:basedOn w:val="DefaultParagraphFont"/>
    <w:uiPriority w:val="99"/>
    <w:semiHidden/>
    <w:unhideWhenUsed/>
    <w:rsid w:val="003D2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strategyonbraininjury.ca/" TargetMode="External"/><Relationship Id="rId5" Type="http://schemas.openxmlformats.org/officeDocument/2006/relationships/hyperlink" Target="https://online.fliphtml5.com/mzsro/jvuq/#p=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397</Words>
  <Characters>2695</Characters>
  <Application>Microsoft Office Word</Application>
  <DocSecurity>0</DocSecurity>
  <Lines>49</Lines>
  <Paragraphs>40</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Breese Biagioni</dc:creator>
  <cp:keywords/>
  <dc:description/>
  <cp:lastModifiedBy>Janelle Breese Biagioni</cp:lastModifiedBy>
  <cp:revision>1</cp:revision>
  <dcterms:created xsi:type="dcterms:W3CDTF">2025-12-23T02:56:00Z</dcterms:created>
  <dcterms:modified xsi:type="dcterms:W3CDTF">2025-12-23T03:06:00Z</dcterms:modified>
</cp:coreProperties>
</file>